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62"/>
      </w:tblGrid>
      <w:tr w:rsidR="00CC27CD" w:rsidRPr="00507615" w14:paraId="79414A3B" w14:textId="77777777" w:rsidTr="00CC27CD">
        <w:tc>
          <w:tcPr>
            <w:tcW w:w="9062" w:type="dxa"/>
          </w:tcPr>
          <w:p w14:paraId="4AF377A1" w14:textId="77777777" w:rsidR="00CC27CD" w:rsidRPr="00507615" w:rsidRDefault="00CC27CD" w:rsidP="00CC27CD">
            <w:pPr>
              <w:jc w:val="center"/>
              <w:rPr>
                <w:b/>
                <w:bCs/>
                <w:sz w:val="36"/>
                <w:szCs w:val="36"/>
                <w:lang w:val="nl-NL"/>
              </w:rPr>
            </w:pPr>
            <w:r w:rsidRPr="00507615">
              <w:rPr>
                <w:b/>
                <w:bCs/>
                <w:sz w:val="36"/>
                <w:szCs w:val="36"/>
                <w:lang w:val="nl-NL"/>
              </w:rPr>
              <w:t>Transparantie: bevoegdheden, organisatie en werking van het Brussels Waarborgfonds</w:t>
            </w:r>
          </w:p>
        </w:tc>
      </w:tr>
    </w:tbl>
    <w:p w14:paraId="68B2E09E" w14:textId="66078E85" w:rsidR="004E679B" w:rsidRPr="00507615" w:rsidRDefault="004E679B" w:rsidP="00CC27CD">
      <w:pPr>
        <w:rPr>
          <w:b/>
          <w:bCs/>
          <w:lang w:val="nl-NL"/>
        </w:rPr>
      </w:pPr>
    </w:p>
    <w:p w14:paraId="07F8BD57" w14:textId="77777777" w:rsidR="00CC27CD" w:rsidRPr="00507615" w:rsidRDefault="00CC27CD" w:rsidP="00CC27CD">
      <w:pPr>
        <w:rPr>
          <w:b/>
          <w:bCs/>
          <w:lang w:val="nl-NL"/>
        </w:rPr>
      </w:pPr>
    </w:p>
    <w:p w14:paraId="3C951706" w14:textId="77777777" w:rsidR="0053739B" w:rsidRPr="00507615" w:rsidRDefault="00F909E8" w:rsidP="0053739B">
      <w:pPr>
        <w:spacing w:after="0" w:line="288" w:lineRule="atLeast"/>
        <w:textAlignment w:val="top"/>
        <w:outlineLvl w:val="2"/>
        <w:rPr>
          <w:rFonts w:ascii="Arial" w:eastAsia="Times New Roman" w:hAnsi="Arial" w:cs="Arial"/>
          <w:color w:val="C76A00"/>
          <w:sz w:val="24"/>
          <w:szCs w:val="24"/>
          <w:lang w:val="nl-NL"/>
        </w:rPr>
      </w:pPr>
      <w:r w:rsidRPr="00507615">
        <w:rPr>
          <w:rFonts w:ascii="Arial" w:eastAsia="Times New Roman" w:hAnsi="Arial" w:cs="Arial"/>
          <w:color w:val="C76A00"/>
          <w:sz w:val="24"/>
          <w:szCs w:val="24"/>
          <w:lang w:val="nl-NL"/>
        </w:rPr>
        <w:t>Opdrachten van het Brussels Waarborgfonds</w:t>
      </w:r>
    </w:p>
    <w:p w14:paraId="4D0E172D" w14:textId="77777777" w:rsidR="0053739B" w:rsidRPr="00507615" w:rsidRDefault="00F909E8" w:rsidP="00CC27CD">
      <w:pPr>
        <w:rPr>
          <w:lang w:val="nl-NL"/>
        </w:rPr>
      </w:pPr>
      <w:r w:rsidRPr="00507615">
        <w:rPr>
          <w:lang w:val="nl-NL"/>
        </w:rPr>
        <w:t xml:space="preserve"> </w:t>
      </w:r>
    </w:p>
    <w:p w14:paraId="78FB1296" w14:textId="0CC97B45" w:rsidR="00FF5C56" w:rsidRPr="00507615" w:rsidRDefault="00F909E8" w:rsidP="00CC27CD">
      <w:pPr>
        <w:rPr>
          <w:lang w:val="nl-NL"/>
        </w:rPr>
      </w:pPr>
      <w:r w:rsidRPr="00507615">
        <w:rPr>
          <w:lang w:val="nl-NL"/>
        </w:rPr>
        <w:t xml:space="preserve">Het Brussels Waarborgfonds (BWF) heeft twee opdrachten: </w:t>
      </w:r>
    </w:p>
    <w:p w14:paraId="39D8EBAA" w14:textId="0E6E9B71" w:rsidR="00302C56" w:rsidRPr="00507615" w:rsidRDefault="00F909E8" w:rsidP="00302C56">
      <w:pPr>
        <w:pStyle w:val="Paragraphedeliste"/>
        <w:numPr>
          <w:ilvl w:val="0"/>
          <w:numId w:val="2"/>
        </w:numPr>
        <w:ind w:left="284" w:hanging="284"/>
        <w:rPr>
          <w:lang w:val="nl-NL"/>
        </w:rPr>
      </w:pPr>
      <w:r w:rsidRPr="00507615">
        <w:rPr>
          <w:lang w:val="nl-NL"/>
        </w:rPr>
        <w:t>De toekenning van beroepskredieten in het Brussels Hoofdstedelijk Gewest vergemakkelijken.</w:t>
      </w:r>
    </w:p>
    <w:p w14:paraId="22EF81EE" w14:textId="5337444B" w:rsidR="00FF5C56" w:rsidRPr="00507615" w:rsidRDefault="00F909E8" w:rsidP="00302C56">
      <w:pPr>
        <w:pStyle w:val="Paragraphedeliste"/>
        <w:ind w:left="0"/>
        <w:rPr>
          <w:lang w:val="nl-NL"/>
        </w:rPr>
      </w:pPr>
      <w:r w:rsidRPr="00507615">
        <w:rPr>
          <w:lang w:val="nl-NL"/>
        </w:rPr>
        <w:t>Kmo's of zelfstandigen die onvoldoende zekerheden hebben bij een kredietinstelling, kunnen dankzij de waarborg van het Fonds toegang krijgen tot bankkredieten. In de meeste gevallen is het verkrijgen van deze waarborg een conditio sine qua non voor de toekenning van een krediet door de bank. Het BWF is een belangrijke hefboom voor de ondersteuning van de Brusselse economie.</w:t>
      </w:r>
    </w:p>
    <w:p w14:paraId="4E294964" w14:textId="09237F9F" w:rsidR="00F909E8" w:rsidRPr="00507615" w:rsidRDefault="00F909E8" w:rsidP="00CC27CD">
      <w:pPr>
        <w:rPr>
          <w:lang w:val="nl-NL"/>
        </w:rPr>
      </w:pPr>
      <w:r w:rsidRPr="00507615">
        <w:rPr>
          <w:lang w:val="nl-NL"/>
        </w:rPr>
        <w:t xml:space="preserve">2. De registratie beheren van Proxi-leningen die het spaargeld van Brusselse particulieren, vaak 'Family, </w:t>
      </w:r>
      <w:proofErr w:type="spellStart"/>
      <w:r w:rsidRPr="00507615">
        <w:rPr>
          <w:lang w:val="nl-NL"/>
        </w:rPr>
        <w:t>Friends</w:t>
      </w:r>
      <w:proofErr w:type="spellEnd"/>
      <w:r w:rsidRPr="00507615">
        <w:rPr>
          <w:lang w:val="nl-NL"/>
        </w:rPr>
        <w:t xml:space="preserve"> </w:t>
      </w:r>
      <w:proofErr w:type="spellStart"/>
      <w:r w:rsidRPr="00507615">
        <w:rPr>
          <w:lang w:val="nl-NL"/>
        </w:rPr>
        <w:t>and</w:t>
      </w:r>
      <w:proofErr w:type="spellEnd"/>
      <w:r w:rsidRPr="00507615">
        <w:rPr>
          <w:lang w:val="nl-NL"/>
        </w:rPr>
        <w:t xml:space="preserve"> </w:t>
      </w:r>
      <w:proofErr w:type="spellStart"/>
      <w:r w:rsidRPr="00507615">
        <w:rPr>
          <w:lang w:val="nl-NL"/>
        </w:rPr>
        <w:t>Fools</w:t>
      </w:r>
      <w:proofErr w:type="spellEnd"/>
      <w:r w:rsidRPr="00507615">
        <w:rPr>
          <w:lang w:val="nl-NL"/>
        </w:rPr>
        <w:t>' genoemd, mobiliseren om de financiering van een Brusselse activiteit als zelfstandige of kmo mogelijk te maken.</w:t>
      </w:r>
    </w:p>
    <w:p w14:paraId="2E7F0B95" w14:textId="50C36CD3" w:rsidR="00DF32E2" w:rsidRPr="00507615" w:rsidRDefault="00CC27CD" w:rsidP="002B2E8D">
      <w:pPr>
        <w:spacing w:after="0" w:line="288" w:lineRule="atLeast"/>
        <w:textAlignment w:val="top"/>
        <w:outlineLvl w:val="2"/>
        <w:rPr>
          <w:rFonts w:ascii="Arial" w:eastAsia="Times New Roman" w:hAnsi="Arial" w:cs="Arial"/>
          <w:color w:val="C76A00"/>
          <w:sz w:val="24"/>
          <w:szCs w:val="24"/>
          <w:lang w:val="nl-NL"/>
        </w:rPr>
      </w:pPr>
      <w:r w:rsidRPr="00507615">
        <w:rPr>
          <w:rFonts w:ascii="Arial" w:eastAsia="Times New Roman" w:hAnsi="Arial" w:cs="Arial"/>
          <w:color w:val="C76A00"/>
          <w:sz w:val="24"/>
          <w:szCs w:val="24"/>
          <w:lang w:val="nl-NL"/>
        </w:rPr>
        <w:t>De raad van bestuur</w:t>
      </w:r>
    </w:p>
    <w:p w14:paraId="59A1C7AB" w14:textId="77777777" w:rsidR="002B2E8D" w:rsidRPr="00507615" w:rsidRDefault="002B2E8D" w:rsidP="002B2E8D">
      <w:pPr>
        <w:spacing w:after="0" w:line="288" w:lineRule="atLeast"/>
        <w:textAlignment w:val="top"/>
        <w:outlineLvl w:val="2"/>
        <w:rPr>
          <w:rFonts w:ascii="Arial" w:eastAsia="Times New Roman" w:hAnsi="Arial" w:cs="Arial"/>
          <w:color w:val="C76A00"/>
          <w:sz w:val="24"/>
          <w:szCs w:val="24"/>
          <w:lang w:val="nl-NL"/>
        </w:rPr>
      </w:pPr>
    </w:p>
    <w:p w14:paraId="2FABAD1B" w14:textId="21DEE24F" w:rsidR="00DF32E2" w:rsidRPr="00507615" w:rsidRDefault="00DF32E2" w:rsidP="00AA2A59">
      <w:pPr>
        <w:spacing w:before="180" w:after="180" w:line="240" w:lineRule="auto"/>
        <w:textAlignment w:val="top"/>
        <w:rPr>
          <w:lang w:val="nl-NL"/>
        </w:rPr>
      </w:pPr>
      <w:r w:rsidRPr="00507615">
        <w:rPr>
          <w:lang w:val="nl-NL"/>
        </w:rPr>
        <w:t xml:space="preserve">Het Fonds wordt geleid door een raad van bestuur die bestaat uit dertien leden die in het Brussels Hoofdstedelijk Gewest wonen en die bij besluit van de Brusselse Hoofdstedelijke Regering zijn benoemd. De raad is samengesteld uit: 1° een voorzitter; 2° twaalf leden met een economische, financiële of juridische bevoegdheid </w:t>
      </w:r>
      <w:proofErr w:type="gramStart"/>
      <w:r w:rsidRPr="00507615">
        <w:rPr>
          <w:lang w:val="nl-NL"/>
        </w:rPr>
        <w:t>inzake</w:t>
      </w:r>
      <w:proofErr w:type="gramEnd"/>
      <w:r w:rsidRPr="00507615">
        <w:rPr>
          <w:lang w:val="nl-NL"/>
        </w:rPr>
        <w:t xml:space="preserve"> krediet of bedrijfsbeheer, benoemd op basis van de volgende modaliteiten: a) zes leden uit de Kamer van de Middenstand van de Economische en Sociale Raad voor het Brussels Hoofdstedelijk Gewest; b) drie leden uit </w:t>
      </w:r>
      <w:proofErr w:type="spellStart"/>
      <w:r w:rsidRPr="00507615">
        <w:rPr>
          <w:lang w:val="nl-NL"/>
        </w:rPr>
        <w:t>Febelfin</w:t>
      </w:r>
      <w:proofErr w:type="spellEnd"/>
      <w:r w:rsidRPr="00507615">
        <w:rPr>
          <w:lang w:val="nl-NL"/>
        </w:rPr>
        <w:t>; c) drie leden uit de Brusselse Hoofdstedelijke Raad.</w:t>
      </w:r>
    </w:p>
    <w:p w14:paraId="50EA27F2" w14:textId="086740AA" w:rsidR="00DE3961" w:rsidRPr="00507615" w:rsidRDefault="002B2E8D" w:rsidP="002B2E8D">
      <w:pPr>
        <w:spacing w:before="180" w:after="180" w:line="240" w:lineRule="auto"/>
        <w:textAlignment w:val="top"/>
        <w:rPr>
          <w:lang w:val="nl-NL"/>
        </w:rPr>
      </w:pPr>
      <w:r w:rsidRPr="00507615">
        <w:rPr>
          <w:lang w:val="nl-NL"/>
        </w:rPr>
        <w:t>De vergaderingen worden bijgewoond door twee commissarissen van de Brusselse Hoofdstedelijke Regering. De raad van bestuur van het Brussels Waarborgfonds komt in principe om de twee weken samen.</w:t>
      </w:r>
    </w:p>
    <w:p w14:paraId="3D9D9F5D" w14:textId="13A5B127" w:rsidR="00CC27CD" w:rsidRPr="00507615" w:rsidRDefault="00CC27CD" w:rsidP="00AA2A59">
      <w:pPr>
        <w:spacing w:before="150" w:after="0" w:line="288" w:lineRule="atLeast"/>
        <w:textAlignment w:val="top"/>
        <w:outlineLvl w:val="2"/>
        <w:rPr>
          <w:rFonts w:ascii="Arial" w:eastAsia="Times New Roman" w:hAnsi="Arial" w:cs="Arial"/>
          <w:color w:val="C76A00"/>
          <w:sz w:val="24"/>
          <w:szCs w:val="24"/>
          <w:lang w:val="nl-NL"/>
        </w:rPr>
      </w:pPr>
      <w:r w:rsidRPr="00507615">
        <w:rPr>
          <w:rFonts w:ascii="Arial" w:eastAsia="Times New Roman" w:hAnsi="Arial" w:cs="Arial"/>
          <w:color w:val="C76A00"/>
          <w:sz w:val="24"/>
          <w:szCs w:val="24"/>
          <w:lang w:val="nl-NL"/>
        </w:rPr>
        <w:t>Gedelegeerde opdracht</w:t>
      </w:r>
    </w:p>
    <w:p w14:paraId="62F79ADC" w14:textId="77777777" w:rsidR="00CC27CD" w:rsidRPr="00507615" w:rsidRDefault="00CC27CD" w:rsidP="00CC27CD">
      <w:pPr>
        <w:spacing w:before="180" w:after="180" w:line="240" w:lineRule="auto"/>
        <w:textAlignment w:val="top"/>
        <w:rPr>
          <w:lang w:val="nl-NL"/>
        </w:rPr>
      </w:pPr>
      <w:r w:rsidRPr="00507615">
        <w:rPr>
          <w:lang w:val="nl-NL"/>
        </w:rPr>
        <w:t xml:space="preserve">Sinds juli 2016 heeft de Brusselse Hoofdstedelijke Regering het operationeel beheer van het Brussels Waarborgfonds toevertrouwd aan </w:t>
      </w:r>
      <w:proofErr w:type="spellStart"/>
      <w:r w:rsidRPr="00507615">
        <w:rPr>
          <w:lang w:val="nl-NL"/>
        </w:rPr>
        <w:t>finance&amp;</w:t>
      </w:r>
      <w:proofErr w:type="gramStart"/>
      <w:r w:rsidRPr="00507615">
        <w:rPr>
          <w:lang w:val="nl-NL"/>
        </w:rPr>
        <w:t>invest.brussels</w:t>
      </w:r>
      <w:proofErr w:type="spellEnd"/>
      <w:proofErr w:type="gramEnd"/>
      <w:r w:rsidRPr="00507615">
        <w:rPr>
          <w:lang w:val="nl-NL"/>
        </w:rPr>
        <w:t>. Dit operationeel beheer omvat onder meer de terbeschikkingstelling van personeel, kantoorruimte enz.</w:t>
      </w:r>
    </w:p>
    <w:p w14:paraId="7EF347EA" w14:textId="6A03E07D" w:rsidR="006A338A" w:rsidRPr="00507615" w:rsidRDefault="00CC27CD" w:rsidP="006A338A">
      <w:pPr>
        <w:spacing w:before="150" w:after="0" w:line="288" w:lineRule="atLeast"/>
        <w:textAlignment w:val="top"/>
        <w:outlineLvl w:val="2"/>
        <w:rPr>
          <w:rFonts w:ascii="Arial" w:eastAsia="Times New Roman" w:hAnsi="Arial" w:cs="Arial"/>
          <w:color w:val="C76A00"/>
          <w:sz w:val="24"/>
          <w:szCs w:val="24"/>
          <w:lang w:val="nl-NL"/>
        </w:rPr>
      </w:pPr>
      <w:r w:rsidRPr="00507615">
        <w:rPr>
          <w:rFonts w:ascii="Arial" w:eastAsia="Times New Roman" w:hAnsi="Arial" w:cs="Arial"/>
          <w:color w:val="C76A00"/>
          <w:sz w:val="24"/>
          <w:szCs w:val="24"/>
          <w:lang w:val="nl-NL"/>
        </w:rPr>
        <w:t>Toepasselijke regelgeving</w:t>
      </w:r>
    </w:p>
    <w:p w14:paraId="05638141" w14:textId="0EAFED16" w:rsidR="00CC27CD" w:rsidRPr="00507615" w:rsidRDefault="00CC27CD" w:rsidP="0053739B">
      <w:pPr>
        <w:spacing w:before="180" w:after="180" w:line="240" w:lineRule="auto"/>
        <w:textAlignment w:val="top"/>
        <w:rPr>
          <w:lang w:val="nl-NL"/>
        </w:rPr>
      </w:pPr>
      <w:r w:rsidRPr="00507615">
        <w:rPr>
          <w:lang w:val="nl-NL"/>
        </w:rPr>
        <w:t xml:space="preserve">Het Brussels Waarborgfonds wordt </w:t>
      </w:r>
      <w:r w:rsidR="00507615" w:rsidRPr="00507615">
        <w:rPr>
          <w:lang w:val="nl-NL"/>
        </w:rPr>
        <w:t>opge</w:t>
      </w:r>
      <w:r w:rsidR="00507615">
        <w:rPr>
          <w:lang w:val="nl-NL"/>
        </w:rPr>
        <w:t xml:space="preserve">richt </w:t>
      </w:r>
      <w:r w:rsidRPr="00507615">
        <w:rPr>
          <w:lang w:val="nl-NL"/>
        </w:rPr>
        <w:t>door de Ordonnantie van 22 april 1999 tot oprichting van het Fonds (BS 14.10.1999) en het Besluit van de Brusselse Hoofdstedelijke Regering van 20 juni 2013 (BS 02.07.2013) houdende het algemeen reglement van het Fonds dat sinds 1 juli 2013 van kracht is.</w:t>
      </w:r>
    </w:p>
    <w:p w14:paraId="6017FC38" w14:textId="77777777" w:rsidR="00066F39" w:rsidRPr="00507615" w:rsidRDefault="00066F39" w:rsidP="00066F39">
      <w:pPr>
        <w:spacing w:before="150" w:after="0" w:line="288" w:lineRule="atLeast"/>
        <w:textAlignment w:val="top"/>
        <w:outlineLvl w:val="2"/>
        <w:rPr>
          <w:rFonts w:ascii="Arial" w:eastAsia="Times New Roman" w:hAnsi="Arial" w:cs="Arial"/>
          <w:color w:val="C76A00"/>
          <w:sz w:val="24"/>
          <w:szCs w:val="24"/>
          <w:lang w:val="nl-NL"/>
        </w:rPr>
      </w:pPr>
      <w:r w:rsidRPr="00507615">
        <w:rPr>
          <w:rFonts w:ascii="Arial" w:eastAsia="Times New Roman" w:hAnsi="Arial" w:cs="Arial"/>
          <w:color w:val="C76A00"/>
          <w:sz w:val="24"/>
          <w:szCs w:val="24"/>
          <w:lang w:val="nl-NL"/>
        </w:rPr>
        <w:t>Oproepen tot kandidaatstelling en aanwervingsvoorwaarden</w:t>
      </w:r>
    </w:p>
    <w:p w14:paraId="1333E8AF" w14:textId="77777777" w:rsidR="00066F39" w:rsidRPr="00507615" w:rsidRDefault="00066F39" w:rsidP="00066F39">
      <w:pPr>
        <w:spacing w:before="180" w:after="180" w:line="240" w:lineRule="auto"/>
        <w:textAlignment w:val="top"/>
        <w:rPr>
          <w:lang w:val="nl-NL"/>
        </w:rPr>
      </w:pPr>
      <w:r w:rsidRPr="00507615">
        <w:rPr>
          <w:lang w:val="nl-NL"/>
        </w:rPr>
        <w:t>Het Fonds beschikt niet over eigen personeel.</w:t>
      </w:r>
    </w:p>
    <w:p w14:paraId="7FCD5F48" w14:textId="77777777" w:rsidR="00071D04" w:rsidRPr="00507615" w:rsidRDefault="00071D04" w:rsidP="0053739B">
      <w:pPr>
        <w:spacing w:before="180" w:after="180" w:line="240" w:lineRule="auto"/>
        <w:textAlignment w:val="top"/>
        <w:rPr>
          <w:lang w:val="nl-NL"/>
        </w:rPr>
      </w:pPr>
    </w:p>
    <w:p w14:paraId="48674910" w14:textId="77777777" w:rsidR="000A55D2" w:rsidRPr="00507615" w:rsidRDefault="000A55D2" w:rsidP="0053739B">
      <w:pPr>
        <w:spacing w:before="180" w:after="180" w:line="240" w:lineRule="auto"/>
        <w:textAlignment w:val="top"/>
        <w:rPr>
          <w:lang w:val="nl-NL"/>
        </w:rPr>
      </w:pPr>
    </w:p>
    <w:p w14:paraId="516E6791" w14:textId="77777777" w:rsidR="00071D04" w:rsidRPr="00507615" w:rsidRDefault="00071D04" w:rsidP="0053739B">
      <w:pPr>
        <w:spacing w:before="180" w:after="180" w:line="240" w:lineRule="auto"/>
        <w:textAlignment w:val="top"/>
        <w:rPr>
          <w:lang w:val="nl-NL"/>
        </w:rPr>
      </w:pPr>
    </w:p>
    <w:p w14:paraId="596C4AC5" w14:textId="77777777" w:rsidR="00066F39" w:rsidRPr="00507615" w:rsidRDefault="00066F39" w:rsidP="0053739B">
      <w:pPr>
        <w:spacing w:before="180" w:after="180" w:line="240" w:lineRule="auto"/>
        <w:textAlignment w:val="top"/>
        <w:rPr>
          <w:lang w:val="nl-NL"/>
        </w:rPr>
      </w:pPr>
    </w:p>
    <w:p w14:paraId="5E42F629" w14:textId="38FDAF60" w:rsidR="00756D6F" w:rsidRPr="00507615" w:rsidRDefault="004D783F" w:rsidP="00796272">
      <w:pPr>
        <w:spacing w:before="150" w:after="0" w:line="288" w:lineRule="atLeast"/>
        <w:textAlignment w:val="top"/>
        <w:outlineLvl w:val="2"/>
        <w:rPr>
          <w:rFonts w:ascii="Arial" w:eastAsia="Times New Roman" w:hAnsi="Arial" w:cs="Arial"/>
          <w:color w:val="C76A00"/>
          <w:sz w:val="24"/>
          <w:szCs w:val="24"/>
          <w:lang w:val="nl-NL"/>
        </w:rPr>
      </w:pPr>
      <w:r w:rsidRPr="00507615">
        <w:rPr>
          <w:rFonts w:ascii="Arial" w:eastAsia="Times New Roman" w:hAnsi="Arial" w:cs="Arial"/>
          <w:color w:val="C76A00"/>
          <w:sz w:val="24"/>
          <w:szCs w:val="24"/>
          <w:lang w:val="nl-NL"/>
        </w:rPr>
        <w:t>Inventaris van de overheidsopdrachten uitgevoerd door het Brussels Waarborgfonds in 2021</w:t>
      </w:r>
    </w:p>
    <w:p w14:paraId="45689C6F" w14:textId="77777777" w:rsidR="000A55D2" w:rsidRPr="00507615" w:rsidRDefault="000A55D2" w:rsidP="00796272">
      <w:pPr>
        <w:spacing w:before="150" w:after="0" w:line="288" w:lineRule="atLeast"/>
        <w:textAlignment w:val="top"/>
        <w:outlineLvl w:val="2"/>
        <w:rPr>
          <w:rFonts w:ascii="Arial" w:eastAsia="Times New Roman" w:hAnsi="Arial" w:cs="Arial"/>
          <w:color w:val="C76A00"/>
          <w:sz w:val="24"/>
          <w:szCs w:val="24"/>
          <w:lang w:val="nl-NL"/>
        </w:rPr>
      </w:pPr>
    </w:p>
    <w:tbl>
      <w:tblPr>
        <w:tblStyle w:val="Grilledutableau"/>
        <w:tblW w:w="9067" w:type="dxa"/>
        <w:tblLook w:val="04A0" w:firstRow="1" w:lastRow="0" w:firstColumn="1" w:lastColumn="0" w:noHBand="0" w:noVBand="1"/>
      </w:tblPr>
      <w:tblGrid>
        <w:gridCol w:w="9067"/>
      </w:tblGrid>
      <w:tr w:rsidR="004B454F" w:rsidRPr="00507615" w14:paraId="13E43504" w14:textId="77777777" w:rsidTr="007033C4">
        <w:tc>
          <w:tcPr>
            <w:tcW w:w="9067" w:type="dxa"/>
          </w:tcPr>
          <w:p w14:paraId="382D6AE0" w14:textId="4B40151B" w:rsidR="004B454F" w:rsidRPr="00507615" w:rsidRDefault="004B454F" w:rsidP="00796272">
            <w:pPr>
              <w:spacing w:before="150" w:line="288" w:lineRule="atLeast"/>
              <w:textAlignment w:val="top"/>
              <w:outlineLvl w:val="2"/>
              <w:rPr>
                <w:rFonts w:ascii="Arial" w:eastAsia="Times New Roman" w:hAnsi="Arial" w:cs="Arial"/>
                <w:color w:val="C76A00"/>
                <w:sz w:val="24"/>
                <w:szCs w:val="24"/>
                <w:lang w:val="nl-NL"/>
              </w:rPr>
            </w:pPr>
            <w:r w:rsidRPr="00507615">
              <w:rPr>
                <w:rFonts w:ascii="Arial" w:eastAsia="Times New Roman" w:hAnsi="Arial" w:cs="Arial"/>
                <w:sz w:val="24"/>
                <w:szCs w:val="24"/>
                <w:lang w:val="nl-NL"/>
              </w:rPr>
              <w:t>Overheidsopdracht voor diensten voor het onderhoud en de infrastructuur van de software met betrekking tot de Proxi-lening (onderhandelingsprocedure zonder bekendmaking)</w:t>
            </w:r>
          </w:p>
        </w:tc>
      </w:tr>
      <w:tr w:rsidR="004B454F" w:rsidRPr="00507615" w14:paraId="740A2F11" w14:textId="77777777" w:rsidTr="007033C4">
        <w:tc>
          <w:tcPr>
            <w:tcW w:w="9067" w:type="dxa"/>
          </w:tcPr>
          <w:p w14:paraId="6A9EB54B" w14:textId="6F8DDF6D" w:rsidR="004B454F" w:rsidRPr="00507615" w:rsidRDefault="004B454F" w:rsidP="00796272">
            <w:pPr>
              <w:spacing w:before="150" w:line="288" w:lineRule="atLeast"/>
              <w:textAlignment w:val="top"/>
              <w:outlineLvl w:val="2"/>
              <w:rPr>
                <w:rFonts w:ascii="Arial" w:eastAsia="Times New Roman" w:hAnsi="Arial" w:cs="Arial"/>
                <w:sz w:val="24"/>
                <w:szCs w:val="24"/>
                <w:lang w:val="nl-NL"/>
              </w:rPr>
            </w:pPr>
            <w:r w:rsidRPr="00507615">
              <w:rPr>
                <w:rFonts w:ascii="Arial" w:eastAsia="Times New Roman" w:hAnsi="Arial" w:cs="Arial"/>
                <w:sz w:val="24"/>
                <w:szCs w:val="24"/>
                <w:lang w:val="nl-NL"/>
              </w:rPr>
              <w:t>Overheidsopdracht voor diensten in het kader van de communicatie van de Proxi-lening met het oog op de aanstelling van een mediacentrale (onderhandelingsprocedure zonder bekendmaking)</w:t>
            </w:r>
          </w:p>
        </w:tc>
      </w:tr>
      <w:tr w:rsidR="004B454F" w:rsidRPr="00507615" w14:paraId="2F1F8A09" w14:textId="77777777" w:rsidTr="007033C4">
        <w:tc>
          <w:tcPr>
            <w:tcW w:w="9067" w:type="dxa"/>
          </w:tcPr>
          <w:p w14:paraId="2C52205C" w14:textId="3C19A7EE" w:rsidR="004B454F" w:rsidRPr="00507615" w:rsidRDefault="004B454F" w:rsidP="00796272">
            <w:pPr>
              <w:spacing w:before="150" w:line="288" w:lineRule="atLeast"/>
              <w:textAlignment w:val="top"/>
              <w:outlineLvl w:val="2"/>
              <w:rPr>
                <w:rFonts w:ascii="Arial" w:eastAsia="Times New Roman" w:hAnsi="Arial" w:cs="Arial"/>
                <w:sz w:val="24"/>
                <w:szCs w:val="24"/>
                <w:lang w:val="nl-NL"/>
              </w:rPr>
            </w:pPr>
            <w:r w:rsidRPr="00507615">
              <w:rPr>
                <w:rFonts w:ascii="Arial" w:eastAsia="Times New Roman" w:hAnsi="Arial" w:cs="Arial"/>
                <w:sz w:val="24"/>
                <w:szCs w:val="24"/>
                <w:lang w:val="nl-NL"/>
              </w:rPr>
              <w:t>Overheidsopdracht in het kader van de communicatie van de Proxi-lening op eenvoudige aangenomen factuur voor:</w:t>
            </w:r>
          </w:p>
          <w:p w14:paraId="69E835A0" w14:textId="51816782" w:rsidR="004B454F" w:rsidRPr="00507615" w:rsidRDefault="004B454F" w:rsidP="00796272">
            <w:pPr>
              <w:spacing w:before="150" w:line="288" w:lineRule="atLeast"/>
              <w:textAlignment w:val="top"/>
              <w:outlineLvl w:val="2"/>
              <w:rPr>
                <w:rFonts w:ascii="Arial" w:eastAsia="Times New Roman" w:hAnsi="Arial" w:cs="Arial"/>
                <w:sz w:val="24"/>
                <w:szCs w:val="24"/>
                <w:lang w:val="nl-NL"/>
              </w:rPr>
            </w:pPr>
            <w:r w:rsidRPr="00507615">
              <w:rPr>
                <w:rFonts w:ascii="Arial" w:eastAsia="Times New Roman" w:hAnsi="Arial" w:cs="Arial"/>
                <w:sz w:val="24"/>
                <w:szCs w:val="24"/>
                <w:lang w:val="nl-NL"/>
              </w:rPr>
              <w:t xml:space="preserve">- de aanstelling van een advocaat die instaat voor het opstellen van overheidsopdrachten; </w:t>
            </w:r>
          </w:p>
          <w:p w14:paraId="4B807FEA" w14:textId="77777777" w:rsidR="004B454F" w:rsidRPr="00507615" w:rsidRDefault="004B454F" w:rsidP="00796272">
            <w:pPr>
              <w:spacing w:before="150" w:line="288" w:lineRule="atLeast"/>
              <w:textAlignment w:val="top"/>
              <w:outlineLvl w:val="2"/>
              <w:rPr>
                <w:rFonts w:ascii="Arial" w:eastAsia="Times New Roman" w:hAnsi="Arial" w:cs="Arial"/>
                <w:sz w:val="24"/>
                <w:szCs w:val="24"/>
                <w:lang w:val="nl-NL"/>
              </w:rPr>
            </w:pPr>
            <w:r w:rsidRPr="00507615">
              <w:rPr>
                <w:rFonts w:ascii="Arial" w:eastAsia="Times New Roman" w:hAnsi="Arial" w:cs="Arial"/>
                <w:sz w:val="24"/>
                <w:szCs w:val="24"/>
                <w:lang w:val="nl-NL"/>
              </w:rPr>
              <w:t>- de aanstelling van een drukker die instaat voor het drukken van folders/affiches;</w:t>
            </w:r>
          </w:p>
          <w:p w14:paraId="5F270B30" w14:textId="4AB43902" w:rsidR="004B454F" w:rsidRPr="00507615" w:rsidRDefault="004B454F" w:rsidP="00796272">
            <w:pPr>
              <w:spacing w:before="150" w:line="288" w:lineRule="atLeast"/>
              <w:textAlignment w:val="top"/>
              <w:outlineLvl w:val="2"/>
              <w:rPr>
                <w:rFonts w:ascii="Arial" w:eastAsia="Times New Roman" w:hAnsi="Arial" w:cs="Arial"/>
                <w:sz w:val="24"/>
                <w:szCs w:val="24"/>
                <w:lang w:val="nl-NL"/>
              </w:rPr>
            </w:pPr>
            <w:r w:rsidRPr="00507615">
              <w:rPr>
                <w:rFonts w:ascii="Arial" w:eastAsia="Times New Roman" w:hAnsi="Arial" w:cs="Arial"/>
                <w:sz w:val="24"/>
                <w:szCs w:val="24"/>
                <w:lang w:val="nl-NL"/>
              </w:rPr>
              <w:t>- de aanstelling van een dienstverlener die instaat voor het produceren van video's/geluidsbanden van de Proxi-lening;</w:t>
            </w:r>
          </w:p>
          <w:p w14:paraId="4F3AAB47" w14:textId="77777777" w:rsidR="004B454F" w:rsidRPr="00507615" w:rsidRDefault="004B454F" w:rsidP="00796272">
            <w:pPr>
              <w:spacing w:before="150" w:line="288" w:lineRule="atLeast"/>
              <w:textAlignment w:val="top"/>
              <w:outlineLvl w:val="2"/>
              <w:rPr>
                <w:rFonts w:ascii="Arial" w:eastAsia="Times New Roman" w:hAnsi="Arial" w:cs="Arial"/>
                <w:sz w:val="24"/>
                <w:szCs w:val="24"/>
                <w:lang w:val="nl-NL"/>
              </w:rPr>
            </w:pPr>
            <w:r w:rsidRPr="00507615">
              <w:rPr>
                <w:rFonts w:ascii="Arial" w:eastAsia="Times New Roman" w:hAnsi="Arial" w:cs="Arial"/>
                <w:sz w:val="24"/>
                <w:szCs w:val="24"/>
                <w:lang w:val="nl-NL"/>
              </w:rPr>
              <w:t>- de aanstelling van een dienstverlener die instaat voor de digitale strategie van de Proxi-lening;</w:t>
            </w:r>
          </w:p>
          <w:p w14:paraId="67AC707E" w14:textId="5E6A1B97" w:rsidR="00CD6BBF" w:rsidRPr="00507615" w:rsidRDefault="00CD6BBF" w:rsidP="00796272">
            <w:pPr>
              <w:spacing w:before="150" w:line="288" w:lineRule="atLeast"/>
              <w:textAlignment w:val="top"/>
              <w:outlineLvl w:val="2"/>
              <w:rPr>
                <w:rFonts w:ascii="Arial" w:eastAsia="Times New Roman" w:hAnsi="Arial" w:cs="Arial"/>
                <w:sz w:val="24"/>
                <w:szCs w:val="24"/>
                <w:lang w:val="nl-NL"/>
              </w:rPr>
            </w:pPr>
            <w:r w:rsidRPr="00507615">
              <w:rPr>
                <w:rFonts w:ascii="Arial" w:eastAsia="Times New Roman" w:hAnsi="Arial" w:cs="Arial"/>
                <w:sz w:val="24"/>
                <w:szCs w:val="24"/>
                <w:lang w:val="nl-NL"/>
              </w:rPr>
              <w:t>- de aanstelling van een marketingconsultant.</w:t>
            </w:r>
          </w:p>
          <w:p w14:paraId="34D28790" w14:textId="0173B6DB" w:rsidR="004B454F" w:rsidRPr="00507615" w:rsidRDefault="004B454F" w:rsidP="00796272">
            <w:pPr>
              <w:spacing w:before="150" w:line="288" w:lineRule="atLeast"/>
              <w:textAlignment w:val="top"/>
              <w:outlineLvl w:val="2"/>
              <w:rPr>
                <w:rFonts w:ascii="Arial" w:eastAsia="Times New Roman" w:hAnsi="Arial" w:cs="Arial"/>
                <w:color w:val="C76A00"/>
                <w:sz w:val="24"/>
                <w:szCs w:val="24"/>
                <w:lang w:val="nl-NL"/>
              </w:rPr>
            </w:pPr>
          </w:p>
        </w:tc>
      </w:tr>
    </w:tbl>
    <w:p w14:paraId="15B5FAED" w14:textId="1337F08E" w:rsidR="00756D6F" w:rsidRPr="00507615" w:rsidRDefault="00756D6F" w:rsidP="00796272">
      <w:pPr>
        <w:spacing w:before="150" w:after="0" w:line="288" w:lineRule="atLeast"/>
        <w:textAlignment w:val="top"/>
        <w:outlineLvl w:val="2"/>
        <w:rPr>
          <w:rFonts w:ascii="Arial" w:eastAsia="Times New Roman" w:hAnsi="Arial" w:cs="Arial"/>
          <w:color w:val="C76A00"/>
          <w:sz w:val="24"/>
          <w:szCs w:val="24"/>
          <w:lang w:val="nl-NL"/>
        </w:rPr>
      </w:pPr>
    </w:p>
    <w:p w14:paraId="729D5B87" w14:textId="53C7F830" w:rsidR="004D783F" w:rsidRPr="00507615" w:rsidRDefault="004D783F" w:rsidP="00796272">
      <w:pPr>
        <w:spacing w:before="150" w:after="0" w:line="288" w:lineRule="atLeast"/>
        <w:textAlignment w:val="top"/>
        <w:outlineLvl w:val="2"/>
        <w:rPr>
          <w:rFonts w:ascii="Arial" w:eastAsia="Times New Roman" w:hAnsi="Arial" w:cs="Arial"/>
          <w:color w:val="C76A00"/>
          <w:sz w:val="24"/>
          <w:szCs w:val="24"/>
          <w:lang w:val="nl-NL"/>
        </w:rPr>
      </w:pPr>
      <w:r w:rsidRPr="00507615">
        <w:rPr>
          <w:rFonts w:ascii="Arial" w:eastAsia="Times New Roman" w:hAnsi="Arial" w:cs="Arial"/>
          <w:color w:val="C76A00"/>
          <w:sz w:val="24"/>
          <w:szCs w:val="24"/>
          <w:lang w:val="nl-NL"/>
        </w:rPr>
        <w:t>Inventaris van de subsidies 2021 toegekend aan het Brussels Waarborgfonds</w:t>
      </w:r>
    </w:p>
    <w:p w14:paraId="2CDA35FC" w14:textId="77777777" w:rsidR="00CC27CD" w:rsidRPr="00507615" w:rsidRDefault="00CC27CD" w:rsidP="00CC27CD">
      <w:pPr>
        <w:rPr>
          <w:b/>
          <w:bCs/>
          <w:lang w:val="nl-NL"/>
        </w:rPr>
      </w:pPr>
    </w:p>
    <w:tbl>
      <w:tblPr>
        <w:tblStyle w:val="Grilledutableau"/>
        <w:tblW w:w="0" w:type="auto"/>
        <w:tblLook w:val="04A0" w:firstRow="1" w:lastRow="0" w:firstColumn="1" w:lastColumn="0" w:noHBand="0" w:noVBand="1"/>
      </w:tblPr>
      <w:tblGrid>
        <w:gridCol w:w="4531"/>
        <w:gridCol w:w="4531"/>
      </w:tblGrid>
      <w:tr w:rsidR="00802A7C" w14:paraId="390A14D8" w14:textId="77777777" w:rsidTr="00802A7C">
        <w:tc>
          <w:tcPr>
            <w:tcW w:w="4531" w:type="dxa"/>
          </w:tcPr>
          <w:p w14:paraId="69551013" w14:textId="6616A37A" w:rsidR="00802A7C" w:rsidRPr="000C3ED3" w:rsidRDefault="00071D04" w:rsidP="00CC27CD">
            <w:proofErr w:type="spellStart"/>
            <w:r>
              <w:rPr>
                <w:lang w:val="en"/>
              </w:rPr>
              <w:t>Dotatie</w:t>
            </w:r>
            <w:proofErr w:type="spellEnd"/>
            <w:r>
              <w:rPr>
                <w:lang w:val="en"/>
              </w:rPr>
              <w:t xml:space="preserve"> '</w:t>
            </w:r>
            <w:proofErr w:type="spellStart"/>
            <w:r>
              <w:rPr>
                <w:lang w:val="en"/>
              </w:rPr>
              <w:t>werkingskosten</w:t>
            </w:r>
            <w:proofErr w:type="spellEnd"/>
            <w:r>
              <w:rPr>
                <w:lang w:val="en"/>
              </w:rPr>
              <w:t>'</w:t>
            </w:r>
          </w:p>
        </w:tc>
        <w:tc>
          <w:tcPr>
            <w:tcW w:w="4531" w:type="dxa"/>
          </w:tcPr>
          <w:p w14:paraId="7F569E76" w14:textId="7F794942" w:rsidR="00802A7C" w:rsidRPr="000C3ED3" w:rsidRDefault="00247718" w:rsidP="00CC27CD">
            <w:r>
              <w:rPr>
                <w:lang w:val="en"/>
              </w:rPr>
              <w:t>125.000 euro</w:t>
            </w:r>
          </w:p>
        </w:tc>
      </w:tr>
      <w:tr w:rsidR="00802A7C" w14:paraId="7FC6C457" w14:textId="77777777" w:rsidTr="00802A7C">
        <w:tc>
          <w:tcPr>
            <w:tcW w:w="4531" w:type="dxa"/>
          </w:tcPr>
          <w:p w14:paraId="52CE8599" w14:textId="54764BDA" w:rsidR="00802A7C" w:rsidRPr="00507615" w:rsidRDefault="007D4B30" w:rsidP="00CC27CD">
            <w:pPr>
              <w:rPr>
                <w:lang w:val="nl-NL"/>
              </w:rPr>
            </w:pPr>
            <w:r w:rsidRPr="00507615">
              <w:rPr>
                <w:lang w:val="nl-NL"/>
              </w:rPr>
              <w:t>Dotatie 'kapitaaloverdracht' om de vereffening van eventuele negatieve saldo's van het Fonds te dekken</w:t>
            </w:r>
          </w:p>
        </w:tc>
        <w:tc>
          <w:tcPr>
            <w:tcW w:w="4531" w:type="dxa"/>
          </w:tcPr>
          <w:p w14:paraId="57E82455" w14:textId="72A88570" w:rsidR="00802A7C" w:rsidRPr="000C3ED3" w:rsidRDefault="00247718" w:rsidP="00CC27CD">
            <w:r>
              <w:rPr>
                <w:lang w:val="en"/>
              </w:rPr>
              <w:t>1.125.000 euro</w:t>
            </w:r>
          </w:p>
        </w:tc>
      </w:tr>
      <w:tr w:rsidR="00427F6B" w14:paraId="037FEB47" w14:textId="77777777" w:rsidTr="00802A7C">
        <w:tc>
          <w:tcPr>
            <w:tcW w:w="4531" w:type="dxa"/>
          </w:tcPr>
          <w:p w14:paraId="411A5B62" w14:textId="7EE9388C" w:rsidR="00427F6B" w:rsidRPr="000C3ED3" w:rsidRDefault="00427F6B" w:rsidP="00CC27CD">
            <w:r>
              <w:rPr>
                <w:lang w:val="en"/>
              </w:rPr>
              <w:t>Dotatie 'burgerspaargeld'</w:t>
            </w:r>
          </w:p>
        </w:tc>
        <w:tc>
          <w:tcPr>
            <w:tcW w:w="4531" w:type="dxa"/>
          </w:tcPr>
          <w:p w14:paraId="2B30A03C" w14:textId="6D00A78A" w:rsidR="00427F6B" w:rsidRDefault="00427F6B" w:rsidP="00CC27CD">
            <w:r>
              <w:rPr>
                <w:lang w:val="en"/>
              </w:rPr>
              <w:t>350.000 euro</w:t>
            </w:r>
          </w:p>
        </w:tc>
      </w:tr>
      <w:tr w:rsidR="00427F6B" w14:paraId="72D778E1" w14:textId="77777777" w:rsidTr="00802A7C">
        <w:tc>
          <w:tcPr>
            <w:tcW w:w="4531" w:type="dxa"/>
          </w:tcPr>
          <w:p w14:paraId="666F1D43" w14:textId="65328CAB" w:rsidR="00427F6B" w:rsidRDefault="00427F6B" w:rsidP="00CC27CD">
            <w:r>
              <w:rPr>
                <w:lang w:val="en"/>
              </w:rPr>
              <w:t>Dotaties 'aanvullende COVID-19-vergoeding'</w:t>
            </w:r>
          </w:p>
        </w:tc>
        <w:tc>
          <w:tcPr>
            <w:tcW w:w="4531" w:type="dxa"/>
          </w:tcPr>
          <w:p w14:paraId="4FC27A37" w14:textId="3F060675" w:rsidR="00427F6B" w:rsidRDefault="00627D8D" w:rsidP="00CC27CD">
            <w:r>
              <w:rPr>
                <w:lang w:val="en"/>
              </w:rPr>
              <w:t>955.000 euro</w:t>
            </w:r>
          </w:p>
        </w:tc>
      </w:tr>
      <w:tr w:rsidR="00627D8D" w14:paraId="476C47EE" w14:textId="77777777" w:rsidTr="00802A7C">
        <w:tc>
          <w:tcPr>
            <w:tcW w:w="4531" w:type="dxa"/>
          </w:tcPr>
          <w:p w14:paraId="47DB7362" w14:textId="73E4BDEE" w:rsidR="00627D8D" w:rsidRPr="00627D8D" w:rsidRDefault="00627D8D" w:rsidP="00CC27CD">
            <w:pPr>
              <w:rPr>
                <w:b/>
                <w:bCs/>
              </w:rPr>
            </w:pPr>
            <w:r>
              <w:rPr>
                <w:b/>
                <w:bCs/>
                <w:lang w:val="en"/>
              </w:rPr>
              <w:t>Totaal</w:t>
            </w:r>
          </w:p>
        </w:tc>
        <w:tc>
          <w:tcPr>
            <w:tcW w:w="4531" w:type="dxa"/>
          </w:tcPr>
          <w:p w14:paraId="48E65589" w14:textId="0C519C55" w:rsidR="00627D8D" w:rsidRPr="00F23EFF" w:rsidRDefault="00F23EFF" w:rsidP="00CC27CD">
            <w:pPr>
              <w:rPr>
                <w:b/>
                <w:bCs/>
              </w:rPr>
            </w:pPr>
            <w:r>
              <w:rPr>
                <w:b/>
                <w:bCs/>
                <w:lang w:val="en"/>
              </w:rPr>
              <w:t>2.555.000 euro</w:t>
            </w:r>
          </w:p>
        </w:tc>
      </w:tr>
    </w:tbl>
    <w:p w14:paraId="7F584911" w14:textId="77777777" w:rsidR="00A029C7" w:rsidRDefault="00A029C7" w:rsidP="00CC27CD">
      <w:pPr>
        <w:rPr>
          <w:b/>
          <w:bCs/>
        </w:rPr>
      </w:pPr>
    </w:p>
    <w:p w14:paraId="3F10629E" w14:textId="77777777" w:rsidR="00B81B51" w:rsidRPr="00CC27CD" w:rsidRDefault="00B81B51" w:rsidP="00CC27CD">
      <w:pPr>
        <w:rPr>
          <w:b/>
          <w:bCs/>
        </w:rPr>
      </w:pPr>
    </w:p>
    <w:sectPr w:rsidR="00B81B51" w:rsidRPr="00CC2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2E64"/>
    <w:multiLevelType w:val="hybridMultilevel"/>
    <w:tmpl w:val="398E45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44D7F95"/>
    <w:multiLevelType w:val="hybridMultilevel"/>
    <w:tmpl w:val="A628E7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AF"/>
    <w:rsid w:val="00066F39"/>
    <w:rsid w:val="00071D04"/>
    <w:rsid w:val="00076E44"/>
    <w:rsid w:val="000974AE"/>
    <w:rsid w:val="000A55D2"/>
    <w:rsid w:val="000C3ED3"/>
    <w:rsid w:val="001B4B90"/>
    <w:rsid w:val="00200ACC"/>
    <w:rsid w:val="00247718"/>
    <w:rsid w:val="00275C87"/>
    <w:rsid w:val="00280709"/>
    <w:rsid w:val="002A5268"/>
    <w:rsid w:val="002B2E8D"/>
    <w:rsid w:val="00302C56"/>
    <w:rsid w:val="00323DFF"/>
    <w:rsid w:val="0039570C"/>
    <w:rsid w:val="003A5346"/>
    <w:rsid w:val="003B5E12"/>
    <w:rsid w:val="00427F6B"/>
    <w:rsid w:val="00435B06"/>
    <w:rsid w:val="00447B41"/>
    <w:rsid w:val="004553CB"/>
    <w:rsid w:val="004B454F"/>
    <w:rsid w:val="004D783F"/>
    <w:rsid w:val="004E65D8"/>
    <w:rsid w:val="004E679B"/>
    <w:rsid w:val="00507615"/>
    <w:rsid w:val="00531C13"/>
    <w:rsid w:val="00536E75"/>
    <w:rsid w:val="0053739B"/>
    <w:rsid w:val="005450BA"/>
    <w:rsid w:val="00545A70"/>
    <w:rsid w:val="005F4CAF"/>
    <w:rsid w:val="00627D8D"/>
    <w:rsid w:val="006A338A"/>
    <w:rsid w:val="007033C4"/>
    <w:rsid w:val="00712520"/>
    <w:rsid w:val="00756D6F"/>
    <w:rsid w:val="00796272"/>
    <w:rsid w:val="007D4B30"/>
    <w:rsid w:val="00802A7C"/>
    <w:rsid w:val="00845F0F"/>
    <w:rsid w:val="008C4FE0"/>
    <w:rsid w:val="00970610"/>
    <w:rsid w:val="009B03F2"/>
    <w:rsid w:val="00A029C7"/>
    <w:rsid w:val="00A62C33"/>
    <w:rsid w:val="00A873FF"/>
    <w:rsid w:val="00AA2A59"/>
    <w:rsid w:val="00B81B51"/>
    <w:rsid w:val="00B90B78"/>
    <w:rsid w:val="00BE5938"/>
    <w:rsid w:val="00C415F1"/>
    <w:rsid w:val="00C8528B"/>
    <w:rsid w:val="00CC27CD"/>
    <w:rsid w:val="00CD6BBF"/>
    <w:rsid w:val="00D40075"/>
    <w:rsid w:val="00DE3961"/>
    <w:rsid w:val="00DF32E2"/>
    <w:rsid w:val="00E054E8"/>
    <w:rsid w:val="00E6551F"/>
    <w:rsid w:val="00F23EFF"/>
    <w:rsid w:val="00F909E8"/>
    <w:rsid w:val="00FB4FD2"/>
    <w:rsid w:val="00FF5C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19D3"/>
  <w15:chartTrackingRefBased/>
  <w15:docId w15:val="{31162942-50F7-4450-9DE3-778D8D81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C27CD"/>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Titre3">
    <w:name w:val="heading 3"/>
    <w:basedOn w:val="Normal"/>
    <w:link w:val="Titre3Car"/>
    <w:uiPriority w:val="9"/>
    <w:qFormat/>
    <w:rsid w:val="00CC27CD"/>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C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C27CD"/>
    <w:rPr>
      <w:rFonts w:ascii="Times New Roman" w:eastAsia="Times New Roman" w:hAnsi="Times New Roman" w:cs="Times New Roman"/>
      <w:b/>
      <w:bCs/>
      <w:kern w:val="36"/>
      <w:sz w:val="48"/>
      <w:szCs w:val="48"/>
      <w:lang w:val="fr-BE" w:eastAsia="fr-BE"/>
    </w:rPr>
  </w:style>
  <w:style w:type="character" w:customStyle="1" w:styleId="Titre3Car">
    <w:name w:val="Titre 3 Car"/>
    <w:basedOn w:val="Policepardfaut"/>
    <w:link w:val="Titre3"/>
    <w:uiPriority w:val="9"/>
    <w:rsid w:val="00CC27CD"/>
    <w:rPr>
      <w:rFonts w:ascii="Times New Roman" w:eastAsia="Times New Roman" w:hAnsi="Times New Roman" w:cs="Times New Roman"/>
      <w:b/>
      <w:bCs/>
      <w:sz w:val="27"/>
      <w:szCs w:val="27"/>
      <w:lang w:val="fr-BE" w:eastAsia="fr-BE"/>
    </w:rPr>
  </w:style>
  <w:style w:type="paragraph" w:styleId="NormalWeb">
    <w:name w:val="Normal (Web)"/>
    <w:basedOn w:val="Normal"/>
    <w:uiPriority w:val="99"/>
    <w:semiHidden/>
    <w:unhideWhenUsed/>
    <w:rsid w:val="00CC27CD"/>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Paragraphedeliste">
    <w:name w:val="List Paragraph"/>
    <w:basedOn w:val="Normal"/>
    <w:uiPriority w:val="34"/>
    <w:qFormat/>
    <w:rsid w:val="00302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7467">
      <w:bodyDiv w:val="1"/>
      <w:marLeft w:val="0"/>
      <w:marRight w:val="0"/>
      <w:marTop w:val="0"/>
      <w:marBottom w:val="0"/>
      <w:divBdr>
        <w:top w:val="none" w:sz="0" w:space="0" w:color="auto"/>
        <w:left w:val="none" w:sz="0" w:space="0" w:color="auto"/>
        <w:bottom w:val="none" w:sz="0" w:space="0" w:color="auto"/>
        <w:right w:val="none" w:sz="0" w:space="0" w:color="auto"/>
      </w:divBdr>
      <w:divsChild>
        <w:div w:id="499546445">
          <w:marLeft w:val="0"/>
          <w:marRight w:val="0"/>
          <w:marTop w:val="0"/>
          <w:marBottom w:val="0"/>
          <w:divBdr>
            <w:top w:val="none" w:sz="0" w:space="0" w:color="auto"/>
            <w:left w:val="none" w:sz="0" w:space="0" w:color="auto"/>
            <w:bottom w:val="none" w:sz="0" w:space="0" w:color="auto"/>
            <w:right w:val="none" w:sz="0" w:space="0" w:color="auto"/>
          </w:divBdr>
          <w:divsChild>
            <w:div w:id="1507282416">
              <w:marLeft w:val="0"/>
              <w:marRight w:val="0"/>
              <w:marTop w:val="0"/>
              <w:marBottom w:val="0"/>
              <w:divBdr>
                <w:top w:val="none" w:sz="0" w:space="0" w:color="auto"/>
                <w:left w:val="none" w:sz="0" w:space="0" w:color="auto"/>
                <w:bottom w:val="none" w:sz="0" w:space="0" w:color="auto"/>
                <w:right w:val="none" w:sz="0" w:space="0" w:color="auto"/>
              </w:divBdr>
            </w:div>
          </w:divsChild>
        </w:div>
        <w:div w:id="2090729572">
          <w:marLeft w:val="0"/>
          <w:marRight w:val="0"/>
          <w:marTop w:val="300"/>
          <w:marBottom w:val="450"/>
          <w:divBdr>
            <w:top w:val="none" w:sz="0" w:space="0" w:color="auto"/>
            <w:left w:val="none" w:sz="0" w:space="0" w:color="auto"/>
            <w:bottom w:val="none" w:sz="0" w:space="0" w:color="auto"/>
            <w:right w:val="none" w:sz="0" w:space="0" w:color="auto"/>
          </w:divBdr>
          <w:divsChild>
            <w:div w:id="533541828">
              <w:marLeft w:val="0"/>
              <w:marRight w:val="0"/>
              <w:marTop w:val="0"/>
              <w:marBottom w:val="0"/>
              <w:divBdr>
                <w:top w:val="none" w:sz="0" w:space="0" w:color="auto"/>
                <w:left w:val="none" w:sz="0" w:space="0" w:color="auto"/>
                <w:bottom w:val="none" w:sz="0" w:space="0" w:color="auto"/>
                <w:right w:val="none" w:sz="0" w:space="0" w:color="auto"/>
              </w:divBdr>
              <w:divsChild>
                <w:div w:id="769080335">
                  <w:marLeft w:val="0"/>
                  <w:marRight w:val="0"/>
                  <w:marTop w:val="0"/>
                  <w:marBottom w:val="0"/>
                  <w:divBdr>
                    <w:top w:val="none" w:sz="0" w:space="0" w:color="auto"/>
                    <w:left w:val="none" w:sz="0" w:space="0" w:color="auto"/>
                    <w:bottom w:val="none" w:sz="0" w:space="0" w:color="auto"/>
                    <w:right w:val="none" w:sz="0" w:space="0" w:color="auto"/>
                  </w:divBdr>
                  <w:divsChild>
                    <w:div w:id="537010262">
                      <w:marLeft w:val="0"/>
                      <w:marRight w:val="0"/>
                      <w:marTop w:val="0"/>
                      <w:marBottom w:val="0"/>
                      <w:divBdr>
                        <w:top w:val="none" w:sz="0" w:space="0" w:color="auto"/>
                        <w:left w:val="none" w:sz="0" w:space="0" w:color="auto"/>
                        <w:bottom w:val="none" w:sz="0" w:space="0" w:color="auto"/>
                        <w:right w:val="single" w:sz="6" w:space="15" w:color="CCCCCC"/>
                      </w:divBdr>
                    </w:div>
                    <w:div w:id="47078118">
                      <w:marLeft w:val="0"/>
                      <w:marRight w:val="0"/>
                      <w:marTop w:val="0"/>
                      <w:marBottom w:val="0"/>
                      <w:divBdr>
                        <w:top w:val="none" w:sz="0" w:space="0" w:color="auto"/>
                        <w:left w:val="none" w:sz="0" w:space="0" w:color="auto"/>
                        <w:bottom w:val="none" w:sz="0" w:space="0" w:color="auto"/>
                        <w:right w:val="single" w:sz="6" w:space="15" w:color="CCCCCC"/>
                      </w:divBdr>
                    </w:div>
                    <w:div w:id="1029836148">
                      <w:marLeft w:val="0"/>
                      <w:marRight w:val="0"/>
                      <w:marTop w:val="0"/>
                      <w:marBottom w:val="0"/>
                      <w:divBdr>
                        <w:top w:val="none" w:sz="0" w:space="0" w:color="auto"/>
                        <w:left w:val="none" w:sz="0" w:space="0" w:color="auto"/>
                        <w:bottom w:val="single" w:sz="2" w:space="15" w:color="CCCCCC"/>
                        <w:right w:val="single" w:sz="6" w:space="15"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FFFFA31B6A7A4584738146F88F4947" ma:contentTypeVersion="11" ma:contentTypeDescription="Crée un document." ma:contentTypeScope="" ma:versionID="f82e895283582ae4febf44524a0d1475">
  <xsd:schema xmlns:xsd="http://www.w3.org/2001/XMLSchema" xmlns:xs="http://www.w3.org/2001/XMLSchema" xmlns:p="http://schemas.microsoft.com/office/2006/metadata/properties" xmlns:ns2="3087d9be-5609-488b-912a-bdf7ce5ed849" targetNamespace="http://schemas.microsoft.com/office/2006/metadata/properties" ma:root="true" ma:fieldsID="e5a784fa0b5a26ec27e98dc7c8c6c3e2" ns2:_="">
    <xsd:import namespace="3087d9be-5609-488b-912a-bdf7ce5ed8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7d9be-5609-488b-912a-bdf7ce5ed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FE712-FDEE-4E54-AAB5-80681FD9BB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E90D64-5F66-42EF-9101-156566B92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7d9be-5609-488b-912a-bdf7ce5e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36D6F-5AA5-4EB3-8DA0-0D7DF6A85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3200</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Hansen</dc:creator>
  <cp:keywords/>
  <dc:description/>
  <cp:lastModifiedBy>Ellen Hansen</cp:lastModifiedBy>
  <cp:revision>2</cp:revision>
  <dcterms:created xsi:type="dcterms:W3CDTF">2022-02-24T15:28:00Z</dcterms:created>
  <dcterms:modified xsi:type="dcterms:W3CDTF">2022-02-24T15:28:00Z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0x01010053FFFFA31B6A7A4584738146F88F4947</vt:lpwstr>
  </property>
</Properties>
</file>